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3AD70972" w:rsidR="00243EB2" w:rsidRDefault="00235F4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235F4F">
              <w:rPr>
                <w:b/>
                <w:bCs/>
                <w:sz w:val="16"/>
              </w:rPr>
              <w:t>La història de vida com a instrument de l’atenció centrada en la persona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29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270906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270906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270906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270906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70906"/>
    <w:rsid w:val="00292487"/>
    <w:rsid w:val="005F3D12"/>
    <w:rsid w:val="008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